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845" w:rsidRDefault="00D91845" w:rsidP="00D91845">
      <w:pPr>
        <w:tabs>
          <w:tab w:val="left" w:pos="0"/>
        </w:tabs>
        <w:jc w:val="center"/>
        <w:rPr>
          <w:rFonts w:ascii="Century Gothic" w:hAnsi="Century Gothic" w:cs="Arial"/>
          <w:b/>
          <w:sz w:val="32"/>
          <w:szCs w:val="32"/>
          <w:u w:val="single"/>
        </w:rPr>
      </w:pPr>
      <w:bookmarkStart w:id="0" w:name="_GoBack"/>
      <w:r>
        <w:rPr>
          <w:rFonts w:ascii="Century Gothic" w:hAnsi="Century Gothic" w:cs="Arial"/>
          <w:b/>
          <w:noProof/>
          <w:sz w:val="32"/>
          <w:szCs w:val="32"/>
          <w:u w:val="single"/>
        </w:rPr>
        <w:drawing>
          <wp:anchor distT="0" distB="0" distL="114300" distR="114300" simplePos="0" relativeHeight="251658240" behindDoc="1" locked="0" layoutInCell="1" allowOverlap="1">
            <wp:simplePos x="0" y="0"/>
            <wp:positionH relativeFrom="column">
              <wp:posOffset>-262648</wp:posOffset>
            </wp:positionH>
            <wp:positionV relativeFrom="paragraph">
              <wp:posOffset>-719847</wp:posOffset>
            </wp:positionV>
            <wp:extent cx="6322979" cy="6955277"/>
            <wp:effectExtent l="19050" t="0" r="1621"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22979" cy="6955277"/>
                    </a:xfrm>
                    <a:prstGeom prst="rect">
                      <a:avLst/>
                    </a:prstGeom>
                  </pic:spPr>
                </pic:pic>
              </a:graphicData>
            </a:graphic>
          </wp:anchor>
        </w:drawing>
      </w:r>
    </w:p>
    <w:p w:rsidR="00D91845" w:rsidRPr="007F4D32" w:rsidRDefault="00D91845" w:rsidP="00D91845">
      <w:pPr>
        <w:tabs>
          <w:tab w:val="left" w:pos="0"/>
        </w:tabs>
        <w:jc w:val="center"/>
        <w:rPr>
          <w:rFonts w:ascii="Century Gothic" w:hAnsi="Century Gothic" w:cs="Arial"/>
          <w:b/>
          <w:sz w:val="32"/>
          <w:szCs w:val="32"/>
          <w:u w:val="single"/>
        </w:rPr>
      </w:pPr>
      <w:r w:rsidRPr="007F4D32">
        <w:rPr>
          <w:rFonts w:ascii="Century Gothic" w:hAnsi="Century Gothic" w:cs="Arial"/>
          <w:b/>
          <w:sz w:val="32"/>
          <w:szCs w:val="32"/>
          <w:highlight w:val="lightGray"/>
          <w:u w:val="single"/>
        </w:rPr>
        <w:t>QUOTATION REQUIRED</w:t>
      </w:r>
    </w:p>
    <w:p w:rsidR="00D91845" w:rsidRPr="007F4D32" w:rsidRDefault="00D91845" w:rsidP="00D91845">
      <w:pPr>
        <w:pStyle w:val="ListParagraph"/>
        <w:tabs>
          <w:tab w:val="left" w:pos="0"/>
        </w:tabs>
        <w:spacing w:after="0" w:line="240" w:lineRule="auto"/>
        <w:ind w:left="1470"/>
        <w:jc w:val="center"/>
        <w:rPr>
          <w:rFonts w:ascii="Century Gothic" w:hAnsi="Century Gothic" w:cs="Arial"/>
          <w:b/>
          <w:sz w:val="32"/>
          <w:szCs w:val="32"/>
          <w:u w:val="single"/>
        </w:rPr>
      </w:pPr>
    </w:p>
    <w:p w:rsidR="00D91845" w:rsidRDefault="00D91845" w:rsidP="00D91845">
      <w:pPr>
        <w:pStyle w:val="ListParagraph"/>
        <w:tabs>
          <w:tab w:val="left" w:pos="0"/>
        </w:tabs>
        <w:spacing w:after="0"/>
        <w:ind w:left="0"/>
        <w:jc w:val="both"/>
        <w:rPr>
          <w:rFonts w:ascii="Century Gothic" w:hAnsi="Century Gothic" w:cs="Arial"/>
          <w:sz w:val="24"/>
          <w:szCs w:val="24"/>
        </w:rPr>
      </w:pPr>
      <w:r>
        <w:rPr>
          <w:rFonts w:ascii="Century Gothic" w:hAnsi="Century Gothic" w:cs="Arial"/>
          <w:sz w:val="24"/>
          <w:szCs w:val="24"/>
        </w:rPr>
        <w:t xml:space="preserve">PHA Foundation intends to open a Daily Product bank account for the funds management of project “PHA-F </w:t>
      </w:r>
      <w:proofErr w:type="spellStart"/>
      <w:r>
        <w:rPr>
          <w:rFonts w:ascii="Century Gothic" w:hAnsi="Century Gothic" w:cs="Arial"/>
          <w:sz w:val="24"/>
          <w:szCs w:val="24"/>
        </w:rPr>
        <w:t>Residencia</w:t>
      </w:r>
      <w:proofErr w:type="spellEnd"/>
      <w:r>
        <w:rPr>
          <w:rFonts w:ascii="Century Gothic" w:hAnsi="Century Gothic" w:cs="Arial"/>
          <w:sz w:val="24"/>
          <w:szCs w:val="24"/>
        </w:rPr>
        <w:t>, Peshawar” in line with Finance Division guidelines, 2003 for “deposit of working balances and investment of surplus funds” in scheduled bank’s (Branches located in Islamabad) offering the best interest rate with following terms and conditions:-</w:t>
      </w:r>
    </w:p>
    <w:p w:rsidR="00D91845" w:rsidRDefault="00D91845" w:rsidP="00D91845">
      <w:pPr>
        <w:pStyle w:val="ListParagraph"/>
        <w:tabs>
          <w:tab w:val="left" w:pos="0"/>
        </w:tabs>
        <w:spacing w:after="0"/>
        <w:ind w:left="0"/>
        <w:jc w:val="both"/>
        <w:rPr>
          <w:rFonts w:ascii="Century Gothic" w:hAnsi="Century Gothic" w:cs="Arial"/>
          <w:sz w:val="24"/>
          <w:szCs w:val="24"/>
        </w:rPr>
      </w:pPr>
    </w:p>
    <w:p w:rsidR="00D91845" w:rsidRPr="007F4D32" w:rsidRDefault="00D91845" w:rsidP="00D91845">
      <w:pPr>
        <w:pStyle w:val="ListParagraph"/>
        <w:numPr>
          <w:ilvl w:val="0"/>
          <w:numId w:val="1"/>
        </w:numPr>
        <w:tabs>
          <w:tab w:val="left" w:pos="0"/>
        </w:tabs>
        <w:spacing w:after="0"/>
        <w:jc w:val="both"/>
        <w:rPr>
          <w:rFonts w:ascii="Century Gothic" w:hAnsi="Century Gothic" w:cs="Arial"/>
          <w:sz w:val="24"/>
          <w:szCs w:val="24"/>
        </w:rPr>
      </w:pPr>
      <w:r>
        <w:rPr>
          <w:rFonts w:ascii="Century Gothic" w:hAnsi="Century Gothic" w:cs="Arial"/>
          <w:sz w:val="24"/>
          <w:szCs w:val="24"/>
        </w:rPr>
        <w:t>Interested local banks having minimum “A” PACRA/JCR-VIS Credit rating and foreign banks having requisite Moody’s Fitch’s and Standard &amp; Poor ratings.</w:t>
      </w:r>
    </w:p>
    <w:p w:rsidR="00D91845" w:rsidRPr="007F4D32" w:rsidRDefault="00D91845" w:rsidP="00D91845">
      <w:pPr>
        <w:pStyle w:val="ListParagraph"/>
        <w:numPr>
          <w:ilvl w:val="0"/>
          <w:numId w:val="1"/>
        </w:numPr>
        <w:tabs>
          <w:tab w:val="left" w:pos="0"/>
        </w:tabs>
        <w:spacing w:after="0"/>
        <w:jc w:val="both"/>
        <w:rPr>
          <w:rFonts w:ascii="Century Gothic" w:hAnsi="Century Gothic" w:cs="Arial"/>
          <w:sz w:val="24"/>
          <w:szCs w:val="24"/>
        </w:rPr>
      </w:pPr>
      <w:r>
        <w:rPr>
          <w:rFonts w:ascii="Century Gothic" w:hAnsi="Century Gothic" w:cs="Arial"/>
          <w:sz w:val="24"/>
          <w:szCs w:val="24"/>
        </w:rPr>
        <w:t>Total initial/tentative/estimated aggregated funds of aforementioned accounts are</w:t>
      </w:r>
      <w:r w:rsidR="00203291">
        <w:rPr>
          <w:rFonts w:ascii="Century Gothic" w:hAnsi="Century Gothic" w:cs="Arial"/>
          <w:sz w:val="24"/>
          <w:szCs w:val="24"/>
        </w:rPr>
        <w:t xml:space="preserve"> Rs: </w:t>
      </w:r>
      <w:r>
        <w:rPr>
          <w:rFonts w:ascii="Century Gothic" w:hAnsi="Century Gothic" w:cs="Arial"/>
          <w:sz w:val="24"/>
          <w:szCs w:val="24"/>
        </w:rPr>
        <w:t>3.5 Billion.</w:t>
      </w:r>
    </w:p>
    <w:p w:rsidR="00D91845" w:rsidRPr="007F4D32" w:rsidRDefault="00D91845" w:rsidP="00D91845">
      <w:pPr>
        <w:pStyle w:val="ListParagraph"/>
        <w:numPr>
          <w:ilvl w:val="0"/>
          <w:numId w:val="1"/>
        </w:numPr>
        <w:tabs>
          <w:tab w:val="left" w:pos="0"/>
        </w:tabs>
        <w:spacing w:after="0"/>
        <w:jc w:val="both"/>
        <w:rPr>
          <w:rFonts w:ascii="Century Gothic" w:hAnsi="Century Gothic" w:cs="Arial"/>
          <w:sz w:val="24"/>
          <w:szCs w:val="24"/>
        </w:rPr>
      </w:pPr>
      <w:r>
        <w:rPr>
          <w:rFonts w:ascii="Century Gothic" w:hAnsi="Century Gothic" w:cs="Arial"/>
          <w:sz w:val="24"/>
          <w:szCs w:val="24"/>
        </w:rPr>
        <w:t xml:space="preserve">All envelopes should be duly marked “QUOTATION BY BANK” and should reach the office of undersigned at </w:t>
      </w:r>
      <w:r w:rsidRPr="00967DDB">
        <w:rPr>
          <w:rFonts w:ascii="Century Gothic" w:hAnsi="Century Gothic" w:cs="Arial"/>
          <w:b/>
          <w:sz w:val="24"/>
          <w:szCs w:val="24"/>
        </w:rPr>
        <w:t xml:space="preserve">10.30 A.M on August, </w:t>
      </w:r>
      <w:r>
        <w:rPr>
          <w:rFonts w:ascii="Century Gothic" w:hAnsi="Century Gothic" w:cs="Arial"/>
          <w:b/>
          <w:sz w:val="24"/>
          <w:szCs w:val="24"/>
        </w:rPr>
        <w:t>25</w:t>
      </w:r>
      <w:r w:rsidR="00203291">
        <w:rPr>
          <w:rFonts w:ascii="Century Gothic" w:hAnsi="Century Gothic" w:cs="Arial"/>
          <w:b/>
          <w:sz w:val="24"/>
          <w:szCs w:val="24"/>
        </w:rPr>
        <w:t>,</w:t>
      </w:r>
      <w:r w:rsidRPr="00967DDB">
        <w:rPr>
          <w:rFonts w:ascii="Century Gothic" w:hAnsi="Century Gothic" w:cs="Arial"/>
          <w:b/>
          <w:sz w:val="24"/>
          <w:szCs w:val="24"/>
        </w:rPr>
        <w:t xml:space="preserve"> 2020</w:t>
      </w:r>
      <w:r>
        <w:rPr>
          <w:rFonts w:ascii="Century Gothic" w:hAnsi="Century Gothic" w:cs="Arial"/>
          <w:sz w:val="24"/>
          <w:szCs w:val="24"/>
        </w:rPr>
        <w:t xml:space="preserve"> which will be opened at 11:00 hours on same day in presence of the members of bank representatives and Finance &amp; Accounts Committee of the PHA Foundation </w:t>
      </w:r>
      <w:proofErr w:type="spellStart"/>
      <w:r>
        <w:rPr>
          <w:rFonts w:ascii="Century Gothic" w:hAnsi="Century Gothic" w:cs="Arial"/>
          <w:sz w:val="24"/>
          <w:szCs w:val="24"/>
        </w:rPr>
        <w:t>BoD</w:t>
      </w:r>
      <w:proofErr w:type="spellEnd"/>
      <w:r>
        <w:rPr>
          <w:rFonts w:ascii="Century Gothic" w:hAnsi="Century Gothic" w:cs="Arial"/>
          <w:sz w:val="24"/>
          <w:szCs w:val="24"/>
        </w:rPr>
        <w:t>.</w:t>
      </w:r>
    </w:p>
    <w:p w:rsidR="00D91845" w:rsidRPr="007F4D32" w:rsidRDefault="00D91845" w:rsidP="00D91845">
      <w:pPr>
        <w:pStyle w:val="ListParagraph"/>
        <w:numPr>
          <w:ilvl w:val="0"/>
          <w:numId w:val="1"/>
        </w:numPr>
        <w:tabs>
          <w:tab w:val="left" w:pos="0"/>
        </w:tabs>
        <w:spacing w:after="0"/>
        <w:jc w:val="both"/>
        <w:rPr>
          <w:rFonts w:ascii="Century Gothic" w:hAnsi="Century Gothic" w:cs="Arial"/>
          <w:sz w:val="24"/>
          <w:szCs w:val="24"/>
        </w:rPr>
      </w:pPr>
      <w:r>
        <w:rPr>
          <w:rFonts w:ascii="Century Gothic" w:hAnsi="Century Gothic" w:cs="Arial"/>
          <w:sz w:val="24"/>
          <w:szCs w:val="24"/>
        </w:rPr>
        <w:t>Disfiguring/Overwriting and fudging shall render the bid to rejection.</w:t>
      </w:r>
    </w:p>
    <w:p w:rsidR="00D91845" w:rsidRDefault="00D91845" w:rsidP="00D91845">
      <w:pPr>
        <w:pStyle w:val="ListParagraph"/>
        <w:numPr>
          <w:ilvl w:val="0"/>
          <w:numId w:val="1"/>
        </w:numPr>
        <w:tabs>
          <w:tab w:val="left" w:pos="0"/>
        </w:tabs>
        <w:spacing w:after="0"/>
        <w:jc w:val="both"/>
        <w:rPr>
          <w:rFonts w:ascii="Century Gothic" w:hAnsi="Century Gothic" w:cs="Arial"/>
          <w:sz w:val="24"/>
          <w:szCs w:val="24"/>
        </w:rPr>
      </w:pPr>
      <w:r>
        <w:rPr>
          <w:rFonts w:ascii="Century Gothic" w:hAnsi="Century Gothic" w:cs="Arial"/>
          <w:sz w:val="24"/>
          <w:szCs w:val="24"/>
        </w:rPr>
        <w:t>The account will be opened as per policy guideline</w:t>
      </w:r>
      <w:r w:rsidR="00203291">
        <w:rPr>
          <w:rFonts w:ascii="Century Gothic" w:hAnsi="Century Gothic" w:cs="Arial"/>
          <w:sz w:val="24"/>
          <w:szCs w:val="24"/>
        </w:rPr>
        <w:t>s</w:t>
      </w:r>
      <w:r>
        <w:rPr>
          <w:rFonts w:ascii="Century Gothic" w:hAnsi="Century Gothic" w:cs="Arial"/>
          <w:sz w:val="24"/>
          <w:szCs w:val="24"/>
        </w:rPr>
        <w:t xml:space="preserve"> of the Finance Division on the subject matter.</w:t>
      </w:r>
    </w:p>
    <w:p w:rsidR="00D91845" w:rsidRDefault="00D91845" w:rsidP="00D91845">
      <w:pPr>
        <w:pStyle w:val="ListParagraph"/>
        <w:tabs>
          <w:tab w:val="left" w:pos="0"/>
        </w:tabs>
        <w:spacing w:after="0"/>
        <w:jc w:val="both"/>
        <w:rPr>
          <w:rFonts w:ascii="Century Gothic" w:hAnsi="Century Gothic" w:cs="Arial"/>
          <w:sz w:val="24"/>
          <w:szCs w:val="24"/>
        </w:rPr>
      </w:pPr>
    </w:p>
    <w:p w:rsidR="00D91845" w:rsidRDefault="00D91845" w:rsidP="00D91845">
      <w:pPr>
        <w:tabs>
          <w:tab w:val="left" w:pos="0"/>
        </w:tabs>
        <w:jc w:val="center"/>
        <w:rPr>
          <w:rFonts w:ascii="Century Gothic" w:hAnsi="Century Gothic" w:cs="Arial"/>
          <w:b/>
          <w:sz w:val="28"/>
          <w:szCs w:val="28"/>
          <w:highlight w:val="lightGray"/>
        </w:rPr>
      </w:pPr>
      <w:r>
        <w:rPr>
          <w:rFonts w:ascii="Century Gothic" w:hAnsi="Century Gothic" w:cs="Arial"/>
          <w:b/>
          <w:sz w:val="28"/>
          <w:szCs w:val="28"/>
          <w:highlight w:val="lightGray"/>
        </w:rPr>
        <w:t xml:space="preserve">(Director Finance) </w:t>
      </w:r>
    </w:p>
    <w:p w:rsidR="00D91845" w:rsidRDefault="00D91845" w:rsidP="00D91845">
      <w:pPr>
        <w:tabs>
          <w:tab w:val="left" w:pos="0"/>
        </w:tabs>
        <w:jc w:val="center"/>
        <w:rPr>
          <w:rFonts w:ascii="Century Gothic" w:hAnsi="Century Gothic" w:cs="Arial"/>
          <w:b/>
          <w:sz w:val="28"/>
          <w:szCs w:val="28"/>
          <w:highlight w:val="lightGray"/>
        </w:rPr>
      </w:pPr>
      <w:r>
        <w:rPr>
          <w:rFonts w:ascii="Century Gothic" w:hAnsi="Century Gothic" w:cs="Arial"/>
          <w:b/>
          <w:sz w:val="28"/>
          <w:szCs w:val="28"/>
          <w:highlight w:val="lightGray"/>
        </w:rPr>
        <w:t xml:space="preserve"> </w:t>
      </w:r>
      <w:proofErr w:type="gramStart"/>
      <w:r>
        <w:rPr>
          <w:rFonts w:ascii="Century Gothic" w:hAnsi="Century Gothic" w:cs="Arial"/>
          <w:b/>
          <w:sz w:val="28"/>
          <w:szCs w:val="28"/>
          <w:highlight w:val="lightGray"/>
        </w:rPr>
        <w:t xml:space="preserve">PHA-Foundation </w:t>
      </w:r>
      <w:proofErr w:type="spellStart"/>
      <w:r>
        <w:rPr>
          <w:rFonts w:ascii="Century Gothic" w:hAnsi="Century Gothic" w:cs="Arial"/>
          <w:b/>
          <w:sz w:val="28"/>
          <w:szCs w:val="28"/>
          <w:highlight w:val="lightGray"/>
        </w:rPr>
        <w:t>Shaheed</w:t>
      </w:r>
      <w:proofErr w:type="spellEnd"/>
      <w:r>
        <w:rPr>
          <w:rFonts w:ascii="Century Gothic" w:hAnsi="Century Gothic" w:cs="Arial"/>
          <w:b/>
          <w:sz w:val="28"/>
          <w:szCs w:val="28"/>
          <w:highlight w:val="lightGray"/>
        </w:rPr>
        <w:t>-e-</w:t>
      </w:r>
      <w:proofErr w:type="spellStart"/>
      <w:r>
        <w:rPr>
          <w:rFonts w:ascii="Century Gothic" w:hAnsi="Century Gothic" w:cs="Arial"/>
          <w:b/>
          <w:sz w:val="28"/>
          <w:szCs w:val="28"/>
          <w:highlight w:val="lightGray"/>
        </w:rPr>
        <w:t>Millat</w:t>
      </w:r>
      <w:proofErr w:type="spellEnd"/>
      <w:r>
        <w:rPr>
          <w:rFonts w:ascii="Century Gothic" w:hAnsi="Century Gothic" w:cs="Arial"/>
          <w:b/>
          <w:sz w:val="28"/>
          <w:szCs w:val="28"/>
          <w:highlight w:val="lightGray"/>
        </w:rPr>
        <w:t xml:space="preserve"> Secretariat, 3</w:t>
      </w:r>
      <w:r>
        <w:rPr>
          <w:rFonts w:ascii="Century Gothic" w:hAnsi="Century Gothic" w:cs="Arial"/>
          <w:b/>
          <w:sz w:val="28"/>
          <w:szCs w:val="28"/>
          <w:highlight w:val="lightGray"/>
          <w:vertAlign w:val="superscript"/>
        </w:rPr>
        <w:t>rd</w:t>
      </w:r>
      <w:r>
        <w:rPr>
          <w:rFonts w:ascii="Century Gothic" w:hAnsi="Century Gothic" w:cs="Arial"/>
          <w:b/>
          <w:sz w:val="28"/>
          <w:szCs w:val="28"/>
          <w:highlight w:val="lightGray"/>
        </w:rPr>
        <w:t xml:space="preserve"> Floor, Jinnah Avenue Islamabad.</w:t>
      </w:r>
      <w:proofErr w:type="gramEnd"/>
    </w:p>
    <w:p w:rsidR="00D91845" w:rsidRDefault="00D91845" w:rsidP="00D91845">
      <w:pPr>
        <w:tabs>
          <w:tab w:val="left" w:pos="0"/>
        </w:tabs>
        <w:jc w:val="center"/>
        <w:rPr>
          <w:rFonts w:ascii="Century Gothic" w:hAnsi="Century Gothic" w:cs="Arial"/>
          <w:b/>
          <w:sz w:val="28"/>
          <w:szCs w:val="28"/>
        </w:rPr>
      </w:pPr>
      <w:r>
        <w:rPr>
          <w:rFonts w:ascii="Century Gothic" w:hAnsi="Century Gothic" w:cs="Arial"/>
          <w:b/>
          <w:sz w:val="28"/>
          <w:szCs w:val="28"/>
          <w:highlight w:val="lightGray"/>
        </w:rPr>
        <w:t>Tel</w:t>
      </w:r>
      <w:proofErr w:type="gramStart"/>
      <w:r>
        <w:rPr>
          <w:rFonts w:ascii="Century Gothic" w:hAnsi="Century Gothic" w:cs="Arial"/>
          <w:b/>
          <w:sz w:val="28"/>
          <w:szCs w:val="28"/>
          <w:highlight w:val="lightGray"/>
        </w:rPr>
        <w:t>:051</w:t>
      </w:r>
      <w:proofErr w:type="gramEnd"/>
      <w:r>
        <w:rPr>
          <w:rFonts w:ascii="Century Gothic" w:hAnsi="Century Gothic" w:cs="Arial"/>
          <w:b/>
          <w:sz w:val="28"/>
          <w:szCs w:val="28"/>
          <w:highlight w:val="lightGray"/>
        </w:rPr>
        <w:t>-9206765</w:t>
      </w:r>
    </w:p>
    <w:bookmarkEnd w:id="0"/>
    <w:p w:rsidR="00EF28AA" w:rsidRDefault="00203291"/>
    <w:sectPr w:rsidR="00EF28AA" w:rsidSect="00D078BD">
      <w:pgSz w:w="11900" w:h="16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096C"/>
    <w:multiLevelType w:val="hybridMultilevel"/>
    <w:tmpl w:val="424CEF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BA1BBD"/>
    <w:rsid w:val="00203291"/>
    <w:rsid w:val="0020436B"/>
    <w:rsid w:val="00383153"/>
    <w:rsid w:val="00457301"/>
    <w:rsid w:val="009049E1"/>
    <w:rsid w:val="00BA1BBD"/>
    <w:rsid w:val="00D078BD"/>
    <w:rsid w:val="00D918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3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1BB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1BBD"/>
    <w:rPr>
      <w:rFonts w:ascii="Times New Roman" w:hAnsi="Times New Roman" w:cs="Times New Roman"/>
      <w:sz w:val="18"/>
      <w:szCs w:val="18"/>
    </w:rPr>
  </w:style>
  <w:style w:type="paragraph" w:styleId="ListParagraph">
    <w:name w:val="List Paragraph"/>
    <w:basedOn w:val="Normal"/>
    <w:uiPriority w:val="34"/>
    <w:qFormat/>
    <w:rsid w:val="00D91845"/>
    <w:pPr>
      <w:spacing w:after="200" w:line="276" w:lineRule="auto"/>
      <w:ind w:left="720"/>
      <w:contextualSpacing/>
    </w:pPr>
    <w:rPr>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181</Words>
  <Characters>1032</Characters>
  <Application>Microsoft Office Word</Application>
  <DocSecurity>0</DocSecurity>
  <Lines>8</Lines>
  <Paragraphs>2</Paragraphs>
  <ScaleCrop>false</ScaleCrop>
  <Company/>
  <LinksUpToDate>false</LinksUpToDate>
  <CharactersWithSpaces>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media section</cp:lastModifiedBy>
  <cp:revision>4</cp:revision>
  <cp:lastPrinted>2020-08-06T06:48:00Z</cp:lastPrinted>
  <dcterms:created xsi:type="dcterms:W3CDTF">2020-08-06T06:12:00Z</dcterms:created>
  <dcterms:modified xsi:type="dcterms:W3CDTF">2020-08-06T06:51:00Z</dcterms:modified>
</cp:coreProperties>
</file>